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9" w:rsidRDefault="00990139">
      <w:pPr>
        <w:pStyle w:val="a8"/>
        <w:rPr>
          <w:b w:val="0"/>
          <w:sz w:val="26"/>
        </w:rPr>
      </w:pPr>
      <w:r>
        <w:rPr>
          <w:b w:val="0"/>
          <w:sz w:val="26"/>
        </w:rPr>
        <w:t>СПРАВКА</w:t>
      </w:r>
    </w:p>
    <w:p w:rsidR="00E56519" w:rsidRDefault="00990139">
      <w:pPr>
        <w:jc w:val="center"/>
        <w:rPr>
          <w:sz w:val="26"/>
        </w:rPr>
      </w:pPr>
      <w:r>
        <w:rPr>
          <w:sz w:val="26"/>
        </w:rPr>
        <w:t>о работе с обращениями граждан и запросами пользователей информацией</w:t>
      </w:r>
    </w:p>
    <w:p w:rsidR="00E56519" w:rsidRDefault="00990139">
      <w:pPr>
        <w:jc w:val="center"/>
        <w:rPr>
          <w:sz w:val="26"/>
        </w:rPr>
      </w:pPr>
      <w:r>
        <w:rPr>
          <w:sz w:val="26"/>
        </w:rPr>
        <w:t>в УФНС России по Кировской области за 2 квартал 2026 года.</w:t>
      </w:r>
    </w:p>
    <w:p w:rsidR="00E56519" w:rsidRDefault="00E56519">
      <w:pPr>
        <w:jc w:val="both"/>
        <w:rPr>
          <w:sz w:val="26"/>
        </w:rPr>
      </w:pP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t xml:space="preserve">В УФНС России по Кировской области (далее - Управление) во 2 квартале 2026 года поступило </w:t>
      </w:r>
      <w:r>
        <w:rPr>
          <w:b/>
          <w:sz w:val="26"/>
        </w:rPr>
        <w:t xml:space="preserve">12094 </w:t>
      </w:r>
      <w:r>
        <w:rPr>
          <w:sz w:val="26"/>
        </w:rPr>
        <w:t xml:space="preserve">обращения граждан, организаций и общественных объединений, в том числе зарегистрировано в БД СЭД-Регион «Канцелярия ЗГ» - </w:t>
      </w:r>
      <w:r>
        <w:rPr>
          <w:b/>
          <w:sz w:val="26"/>
        </w:rPr>
        <w:t>3186</w:t>
      </w:r>
      <w:r>
        <w:rPr>
          <w:sz w:val="26"/>
        </w:rPr>
        <w:t xml:space="preserve"> обращений, в прикладной подсистеме «Система обработки обращений налогоплательщиков» (далее - ПП СООН) – </w:t>
      </w:r>
      <w:r>
        <w:rPr>
          <w:b/>
          <w:sz w:val="26"/>
        </w:rPr>
        <w:t xml:space="preserve">8908 </w:t>
      </w:r>
      <w:r>
        <w:rPr>
          <w:sz w:val="26"/>
        </w:rPr>
        <w:t xml:space="preserve">обращений. 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t xml:space="preserve">К аналогичному периоду прошлого года прослеживается рост количества обращений граждан, организаций и общественных объединений на 12,3% (в 2 квартале 2025 года поступило – 10761 обращений). Увеличение количества обращений выявлено по тематикам: </w:t>
      </w:r>
      <w:r>
        <w:rPr>
          <w:i/>
          <w:sz w:val="26"/>
        </w:rPr>
        <w:t>Налогообложение доходов физических лиц; Налогообложение малого бизнеса, специальных налоговых режимов</w:t>
      </w:r>
      <w:r>
        <w:rPr>
          <w:sz w:val="26"/>
        </w:rPr>
        <w:t>.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t xml:space="preserve">В отчетном периоде через электронные сервисы поступило </w:t>
      </w:r>
      <w:r>
        <w:rPr>
          <w:b/>
          <w:sz w:val="26"/>
        </w:rPr>
        <w:t>10903</w:t>
      </w:r>
      <w:r>
        <w:rPr>
          <w:sz w:val="26"/>
        </w:rPr>
        <w:t xml:space="preserve"> обращение (90 %), по системе межведомственного электронного документооборота – </w:t>
      </w:r>
      <w:r>
        <w:rPr>
          <w:b/>
          <w:sz w:val="26"/>
        </w:rPr>
        <w:t>125</w:t>
      </w:r>
      <w:r>
        <w:rPr>
          <w:sz w:val="26"/>
        </w:rPr>
        <w:t xml:space="preserve"> обращений (1,2 %), на бумажном носителе – </w:t>
      </w:r>
      <w:r>
        <w:rPr>
          <w:b/>
          <w:sz w:val="26"/>
        </w:rPr>
        <w:t>1066</w:t>
      </w:r>
      <w:r>
        <w:rPr>
          <w:sz w:val="26"/>
        </w:rPr>
        <w:t xml:space="preserve"> обращений (8,8 %).</w:t>
      </w:r>
    </w:p>
    <w:p w:rsidR="00E56519" w:rsidRDefault="00990139">
      <w:pPr>
        <w:pStyle w:val="Default"/>
        <w:ind w:firstLine="851"/>
        <w:jc w:val="both"/>
        <w:rPr>
          <w:sz w:val="26"/>
          <w:highlight w:val="yellow"/>
        </w:rPr>
      </w:pPr>
      <w:r>
        <w:rPr>
          <w:sz w:val="26"/>
        </w:rPr>
        <w:t xml:space="preserve">Из общего количества обращений, поступивших в Управление во 2 квартале 2026 года, </w:t>
      </w:r>
      <w:r>
        <w:rPr>
          <w:b/>
          <w:sz w:val="26"/>
        </w:rPr>
        <w:t>9957</w:t>
      </w:r>
      <w:r>
        <w:rPr>
          <w:sz w:val="26"/>
        </w:rPr>
        <w:t xml:space="preserve"> (82,3 %) составили обращения физических лиц и индивидуальных предпринимателей, </w:t>
      </w:r>
      <w:r>
        <w:rPr>
          <w:b/>
          <w:sz w:val="26"/>
        </w:rPr>
        <w:t>2137</w:t>
      </w:r>
      <w:r>
        <w:rPr>
          <w:sz w:val="26"/>
        </w:rPr>
        <w:t xml:space="preserve"> (17,7 %) - обращения юридических лиц.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t>Наибольшее количество обращений, поступивших в Управление в отчетном периоде, составили обращения с тематикой: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i/>
          <w:sz w:val="26"/>
        </w:rPr>
        <w:t xml:space="preserve">Налогообложения доходов физических лиц </w:t>
      </w:r>
      <w:r>
        <w:rPr>
          <w:b/>
          <w:sz w:val="26"/>
        </w:rPr>
        <w:t>– 2946</w:t>
      </w:r>
      <w:r>
        <w:rPr>
          <w:sz w:val="26"/>
        </w:rPr>
        <w:t xml:space="preserve"> обращений (24,3 % от общего количества). В большинстве случаев, заявители просили предоставить информацию о наличии остатков по имущественному налоговому вычету по расходам, связанным с приобретением жилых объектов недвижимости, и фактически произведенным расходам, связанным с погашением процентов по целевым займам (кредитам), направленным на приобретение жилья. Кроме того, заявители просили разъяснить вопросы о порядке предоставления социальных, имущественных налоговых вычетов по НДФЛ, возникновения у физических лиц обязанности представления налоговой декларации формы 3-НДФЛ при продаже имущества, при получении в дар объектов недвижимости;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i/>
          <w:sz w:val="26"/>
        </w:rPr>
        <w:t xml:space="preserve">Учет налогоплательщиков/получение и отказ от ИНН </w:t>
      </w:r>
      <w:r>
        <w:rPr>
          <w:sz w:val="26"/>
        </w:rPr>
        <w:t>–</w:t>
      </w:r>
      <w:r>
        <w:rPr>
          <w:b/>
          <w:sz w:val="26"/>
        </w:rPr>
        <w:t xml:space="preserve">1618 </w:t>
      </w:r>
      <w:r>
        <w:rPr>
          <w:sz w:val="26"/>
        </w:rPr>
        <w:t>обращений</w:t>
      </w:r>
      <w:r>
        <w:rPr>
          <w:b/>
          <w:sz w:val="26"/>
        </w:rPr>
        <w:t xml:space="preserve"> </w:t>
      </w:r>
      <w:r>
        <w:rPr>
          <w:sz w:val="26"/>
        </w:rPr>
        <w:t>(13,3 % от общего количества). Основную часть обращений по указанной тематике составляют запросы физических и юридических лиц о предоставлении информации о счетах в банках. Часть обращений связана с внесением соответствующих изменений в Единый государственный реестр налогоплательщиков (ЕГРН);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i/>
          <w:sz w:val="26"/>
        </w:rPr>
        <w:t>Налогообложение малого бизнеса, специальных налоговых режимов</w:t>
      </w:r>
      <w:r>
        <w:rPr>
          <w:sz w:val="26"/>
        </w:rPr>
        <w:t xml:space="preserve"> - </w:t>
      </w:r>
      <w:r>
        <w:rPr>
          <w:b/>
          <w:sz w:val="26"/>
        </w:rPr>
        <w:t>1193</w:t>
      </w:r>
      <w:r>
        <w:rPr>
          <w:sz w:val="26"/>
        </w:rPr>
        <w:t xml:space="preserve"> обращения (9,9 %). Налогоплательщики обращались за разъяснениями применения патентной системы налогообложения применительно к конкретным видам деятельности, исчисления налога на профессиональный доход, за перерасчетом стоимости патента, за подтверждениями правомерности применения автоматизированной упрощенной системы налогообложения (АУСН), за выдачей патента (копий патента);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i/>
          <w:sz w:val="26"/>
        </w:rPr>
        <w:t>Состояние расчетов с бюджетом, а именно: задолженность по налогам, сборам и взносам перед бюджетом Российской Федерации. Взыскание задолженности, доступ к персонифицированной информации о состоянии расчета с бюджетом; возврат (зачет) сумм налогов, сборов, пеней, штрафов</w:t>
      </w:r>
      <w:r>
        <w:rPr>
          <w:sz w:val="26"/>
        </w:rPr>
        <w:t xml:space="preserve"> – </w:t>
      </w:r>
      <w:r>
        <w:rPr>
          <w:b/>
          <w:sz w:val="26"/>
        </w:rPr>
        <w:t>1129</w:t>
      </w:r>
      <w:r>
        <w:rPr>
          <w:sz w:val="26"/>
        </w:rPr>
        <w:t xml:space="preserve"> обращений (9,3 % от общего количества). Налогоплательщики запрашивали информацию о состоянии расчетов с бюджетом, об отражении информации и операций на ЕНС в Личном кабинете налогоплательщика, уточняли принадлежность денежных средств, перечисленных в качестве ЕНП, просили вернуть образовавшуюся переплату по налогам, подтвердить обоснованность отказов в зачете (возврате) сумм налога.</w:t>
      </w:r>
    </w:p>
    <w:p w:rsidR="00E56519" w:rsidRDefault="00990139">
      <w:pPr>
        <w:ind w:firstLine="851"/>
        <w:jc w:val="both"/>
        <w:rPr>
          <w:sz w:val="26"/>
        </w:rPr>
      </w:pPr>
      <w:r>
        <w:rPr>
          <w:sz w:val="26"/>
        </w:rPr>
        <w:lastRenderedPageBreak/>
        <w:t>Подробная статистика обращений, поступивших в Управление, в разрезе тематик приведена в приложении № 1.</w:t>
      </w:r>
    </w:p>
    <w:p w:rsidR="00E56519" w:rsidRDefault="00990139">
      <w:pPr>
        <w:pStyle w:val="Default"/>
        <w:ind w:firstLine="851"/>
        <w:jc w:val="both"/>
        <w:rPr>
          <w:sz w:val="26"/>
        </w:rPr>
      </w:pPr>
      <w:r>
        <w:rPr>
          <w:sz w:val="26"/>
        </w:rPr>
        <w:t>Нарушений контрольного срока рассмотрения обращений граждан за 2 квартал не установлено.</w:t>
      </w:r>
    </w:p>
    <w:p w:rsidR="00E56519" w:rsidRDefault="00990139">
      <w:pPr>
        <w:pStyle w:val="Default"/>
        <w:ind w:firstLine="851"/>
        <w:jc w:val="both"/>
        <w:rPr>
          <w:sz w:val="26"/>
        </w:rPr>
      </w:pPr>
      <w:r>
        <w:rPr>
          <w:sz w:val="26"/>
        </w:rPr>
        <w:t>Одной из составляющих работы Управления с обращениями граждан является личный прием граждан.</w:t>
      </w:r>
    </w:p>
    <w:p w:rsidR="00E56519" w:rsidRDefault="00990139">
      <w:pPr>
        <w:pStyle w:val="Default"/>
        <w:ind w:firstLine="851"/>
        <w:jc w:val="both"/>
        <w:rPr>
          <w:sz w:val="26"/>
        </w:rPr>
      </w:pPr>
      <w:proofErr w:type="gramStart"/>
      <w:r>
        <w:rPr>
          <w:sz w:val="26"/>
        </w:rPr>
        <w:t xml:space="preserve">Во 2 квартале 2026 года на личный прием к руководству Управления обратилось </w:t>
      </w:r>
      <w:r>
        <w:rPr>
          <w:b/>
          <w:sz w:val="26"/>
        </w:rPr>
        <w:t>6</w:t>
      </w:r>
      <w:r>
        <w:rPr>
          <w:sz w:val="26"/>
        </w:rPr>
        <w:t xml:space="preserve"> граждан по вопросам, связанных с  </w:t>
      </w:r>
      <w:r>
        <w:rPr>
          <w:i/>
          <w:sz w:val="26"/>
        </w:rPr>
        <w:t>Уплатой НДФЛ при продаже имущества, Урегулированием задолженности юридического лица; Регистрацией физического лица в качестве индивидуального предпринимателя без его согласия; Налоговой отчетностью;</w:t>
      </w:r>
      <w:r>
        <w:rPr>
          <w:rFonts w:ascii="Times New Roman CYR" w:hAnsi="Times New Roman CYR"/>
          <w:i/>
          <w:sz w:val="26"/>
        </w:rPr>
        <w:t xml:space="preserve"> Контролем исполнения налогового законодательства физическими и юридическими лицами; Трудоустройством и занятостью населения (за исключением международного сотрудничества).</w:t>
      </w:r>
      <w:proofErr w:type="gramEnd"/>
    </w:p>
    <w:p w:rsidR="00E56519" w:rsidRPr="00052CE3" w:rsidRDefault="00990139">
      <w:pPr>
        <w:pStyle w:val="23"/>
        <w:ind w:firstLine="851"/>
        <w:jc w:val="both"/>
        <w:rPr>
          <w:sz w:val="26"/>
        </w:rPr>
      </w:pPr>
      <w:proofErr w:type="gramStart"/>
      <w:r>
        <w:rPr>
          <w:sz w:val="26"/>
        </w:rPr>
        <w:t>Обратившимся</w:t>
      </w:r>
      <w:proofErr w:type="gramEnd"/>
      <w:r>
        <w:rPr>
          <w:sz w:val="26"/>
        </w:rPr>
        <w:t>, с их согласия, уполномоченными должностными лицами Управления, в ходе личного приема, даны устные разъяснения на поставленные вопросы.</w:t>
      </w:r>
    </w:p>
    <w:p w:rsidR="00052CE3" w:rsidRDefault="00052CE3">
      <w:pPr>
        <w:pStyle w:val="23"/>
        <w:ind w:firstLine="851"/>
        <w:jc w:val="both"/>
        <w:rPr>
          <w:sz w:val="26"/>
          <w:lang w:val="en-US"/>
        </w:rPr>
      </w:pPr>
    </w:p>
    <w:p w:rsidR="008F647F" w:rsidRDefault="008F647F" w:rsidP="008F647F">
      <w:pPr>
        <w:pStyle w:val="23"/>
        <w:ind w:firstLine="851"/>
        <w:jc w:val="right"/>
        <w:rPr>
          <w:sz w:val="26"/>
        </w:rPr>
      </w:pPr>
    </w:p>
    <w:p w:rsidR="008F647F" w:rsidRPr="008F647F" w:rsidRDefault="008F647F" w:rsidP="008F647F">
      <w:pPr>
        <w:pStyle w:val="23"/>
        <w:ind w:firstLine="851"/>
        <w:jc w:val="right"/>
        <w:rPr>
          <w:sz w:val="20"/>
        </w:rPr>
      </w:pPr>
      <w:bookmarkStart w:id="0" w:name="_GoBack"/>
      <w:r w:rsidRPr="008F647F">
        <w:rPr>
          <w:sz w:val="20"/>
        </w:rPr>
        <w:t>Приложение №1</w:t>
      </w:r>
    </w:p>
    <w:bookmarkEnd w:id="0"/>
    <w:p w:rsidR="00E56519" w:rsidRDefault="00E56519">
      <w:pPr>
        <w:pStyle w:val="af9"/>
        <w:ind w:firstLine="0"/>
        <w:rPr>
          <w:sz w:val="26"/>
        </w:rPr>
      </w:pPr>
    </w:p>
    <w:p w:rsidR="00F93836" w:rsidRPr="00F93836" w:rsidRDefault="00F93836" w:rsidP="00F93836">
      <w:pPr>
        <w:jc w:val="center"/>
        <w:rPr>
          <w:sz w:val="27"/>
        </w:rPr>
      </w:pPr>
      <w:r w:rsidRPr="00F93836">
        <w:rPr>
          <w:sz w:val="27"/>
        </w:rPr>
        <w:t>СПРАВКА</w:t>
      </w:r>
    </w:p>
    <w:p w:rsidR="00F93836" w:rsidRPr="00F93836" w:rsidRDefault="00F93836" w:rsidP="00F93836">
      <w:pPr>
        <w:jc w:val="center"/>
        <w:rPr>
          <w:sz w:val="26"/>
        </w:rPr>
      </w:pPr>
      <w:r w:rsidRPr="00F93836">
        <w:rPr>
          <w:sz w:val="26"/>
        </w:rPr>
        <w:t xml:space="preserve">по тематике обращений граждан, </w:t>
      </w:r>
      <w:proofErr w:type="gramStart"/>
      <w:r w:rsidRPr="00F93836">
        <w:rPr>
          <w:sz w:val="26"/>
        </w:rPr>
        <w:t>поступившим</w:t>
      </w:r>
      <w:proofErr w:type="gramEnd"/>
      <w:r w:rsidRPr="00F93836">
        <w:rPr>
          <w:sz w:val="26"/>
        </w:rPr>
        <w:t xml:space="preserve"> в Управление за 2 квартал 2026 года</w:t>
      </w:r>
    </w:p>
    <w:p w:rsidR="00F93836" w:rsidRPr="00F93836" w:rsidRDefault="00F93836" w:rsidP="00F93836">
      <w:pPr>
        <w:jc w:val="center"/>
        <w:rPr>
          <w:sz w:val="25"/>
        </w:rPr>
      </w:pPr>
      <w:r w:rsidRPr="00F93836"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F93836" w:rsidRPr="00F93836" w:rsidRDefault="00F93836" w:rsidP="00F93836">
      <w:pPr>
        <w:jc w:val="center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56"/>
        <w:gridCol w:w="6603"/>
        <w:gridCol w:w="849"/>
      </w:tblGrid>
      <w:tr w:rsidR="00F93836" w:rsidRPr="00F93836" w:rsidTr="00695291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center"/>
            </w:pPr>
            <w:r w:rsidRPr="00F93836">
              <w:t>Код</w:t>
            </w:r>
          </w:p>
        </w:tc>
        <w:tc>
          <w:tcPr>
            <w:tcW w:w="6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center"/>
            </w:pPr>
            <w:r w:rsidRPr="00F93836">
              <w:t>Наименование тематики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Кол-во</w:t>
            </w:r>
          </w:p>
        </w:tc>
      </w:tr>
      <w:tr w:rsidR="00F93836" w:rsidRPr="00F93836" w:rsidTr="00695291">
        <w:trPr>
          <w:trHeight w:val="27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/>
        </w:tc>
        <w:tc>
          <w:tcPr>
            <w:tcW w:w="6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/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center"/>
            </w:pPr>
            <w:r w:rsidRPr="00F93836"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center"/>
            </w:pPr>
            <w:r w:rsidRPr="00F9383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center"/>
            </w:pPr>
            <w:r w:rsidRPr="00F93836">
              <w:t>3</w:t>
            </w:r>
          </w:p>
        </w:tc>
      </w:tr>
      <w:tr w:rsidR="00F93836" w:rsidRPr="00F93836" w:rsidTr="00695291">
        <w:trPr>
          <w:trHeight w:val="52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r w:rsidRPr="00F93836">
              <w:t>0001.0000.0000.0000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pPr>
              <w:jc w:val="center"/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0001.0002.0000.0000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0001.0002.0023.0000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0001.0002.0023.0062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0001.0002.0023.0063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Работа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0001.0002.0023.0063.0102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0001.0002.0023.0063.0103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25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0001.0002.0023.0063.0104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92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0001.0002.0023.0063.0105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60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0001.0002.0023.0063.0106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0001.0002.0023.0064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0001.0002.0023.0065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Деятельность общественного совета при органе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0001.0002.0024.0000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 xml:space="preserve">Государственная служба в Российской Федерации (за исключением особенности регулирования службы отдельных категорий работников, государственных </w:t>
            </w:r>
            <w:r w:rsidRPr="00F93836">
              <w:rPr>
                <w:b/>
                <w:color w:val="800000"/>
              </w:rPr>
              <w:lastRenderedPageBreak/>
              <w:t>служащих)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lastRenderedPageBreak/>
              <w:t>0001.0002.0024.0066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Поступление на государственную службу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Прохождение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Назначение на 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Аттестация или квалификационный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Профессиональное развитие государственных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Кадровая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0001.0002.0024.0069.0082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Полномочия государственных служащих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Использование служебных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Выполнение требований к служебному поведению гражданского служащего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0001.0002.0024.0078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Соблюдение служебной дисциплины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Проведение аттестации гражданских служащих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Урегулирование конфликта интересов на гражданской службе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0001.0002.0024.0083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Разрешение индивидуальных служебных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0001.0002.0025.0000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0001.0002.0025.0084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0001.0002.0025.0092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Государственные и муниципальные услуги (многофункциональные центры)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0001.0002.0025.0106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0001.0002.0025.0114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0001.0002.0025.0120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Цены и ценообразование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0001.0002.0027.0000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5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Принятое по обращению решение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Действие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Результаты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0001.0002.0027.0126*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Отсутствует адресат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0001.0002.0027.0127*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0001.0002.0027.0128*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Некорректные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Обращения, не поддающиеся прочтению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0001.0002.0027.0130*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Переписка прекращена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Прекращение рассмотрения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438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Предоставление дополнительных документов и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238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 xml:space="preserve">Истребование дополнительных документов и материалов, в </w:t>
            </w:r>
            <w:r w:rsidRPr="00F93836">
              <w:lastRenderedPageBreak/>
              <w:t>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lastRenderedPageBreak/>
              <w:t>261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lastRenderedPageBreak/>
              <w:t>0001.0002.0027.0134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Предоставление ответа, размещенного на официальном сайте в сети «Интернет»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Личный прием руководителями федеральных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Личный прием иностранных граждан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Благодарности, пожелания сотрудникам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Благодарности, приглашения, поздравления из зарубежных стран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Подарки, книги, фотографии, автографы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0001.0002.0027.0158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0001.0020.0000.0000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0001.0020.0191.0176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0001.0003.0000.0000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0001.0003.0030.0000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0001.0003.0030.0202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327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0001.0003.0030.0471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0001.0003.0031.0000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0001.0003.0031.0203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77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0001.0003.0037.0000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0001.0003.0037.0209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0001.0003.0037.0210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0001.0003.0037.0213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Эффективность использования государственного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0001.0003.0041.0219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r w:rsidRPr="00F93836">
              <w:t>0002.0000.0000.0000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pPr>
              <w:jc w:val="center"/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0002.0004.0000.0000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lastRenderedPageBreak/>
              <w:t>0002.0004.0048.0000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0002.0004.0048.0232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Алиментные обязательства членов семьи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0002.0006.0000.0000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0002.0006.0064.0000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0002.0006.0064.0249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Индексация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0002.0006.0064.0250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43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0002.0006.0065.0000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Нормативное правовое регулирование в сфере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 xml:space="preserve">Надзор и </w:t>
            </w:r>
            <w:proofErr w:type="gramStart"/>
            <w:r w:rsidRPr="00F93836">
              <w:t>контроль за</w:t>
            </w:r>
            <w:proofErr w:type="gramEnd"/>
            <w:r w:rsidRPr="00F93836">
              <w:t xml:space="preserve"> соблюдением трудового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Дисциплина труда. Привлечение к дисциплинарной ответственности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0002.0006.0065.0269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Материальная и моральная мотивация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0002.0007.0000.0000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0002.0007.0066.0000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Общие положения</w:t>
            </w:r>
            <w:r w:rsidRPr="00F93836">
              <w:rPr>
                <w:color w:val="800000"/>
              </w:rPr>
              <w:t xml:space="preserve"> </w:t>
            </w:r>
            <w:r w:rsidRPr="00F93836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0002.0007.0066.0271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0002.0007.0067.0000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0002.0007.0067.0274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0002.0007.0068.0000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0002.0007.0068.0279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151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0002.0007.0069.0000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Трудовой стаж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0002.0007.0069.0280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Трудовой стаж и трудовые книжки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0002.0007.0071.0282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Назначение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0002.0007.0071.0283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Перерасчет размеров пенсий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0002.0007.0072.0000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lastRenderedPageBreak/>
              <w:t>0002.0007.0072.0288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Просьбы об оказании финансовой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0002.0007.0072.0291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0002.0007.0074.0000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0002.0007.0074.0300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0002.0007.0074.0318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0002.0013.0000.0000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0002.0013.0141.0000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Культура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0002.0013.0141.0367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0002.0013.0142.0000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0002.0013.0142.0385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Взаимодействие граждан и организаций со средствами массовой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0002.0014.0000.0000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0002.0014.0143.0000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0002.0014.0143.0389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0002.0014.0143.0390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0002.0014.0143.0413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0002.0014.0143.0414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0002.0014.0143.0429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Государственный контроль и надзор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0002.0014.0143.0431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color w:val="0000FF"/>
              </w:rPr>
            </w:pPr>
            <w:r w:rsidRPr="00F93836">
              <w:rPr>
                <w:color w:val="0000FF"/>
              </w:rPr>
              <w:t>Курортное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0002.0014.0143.0431.0050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медицинская профилактика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0002.0014.0143.0431.0051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медицинская помощь и лечение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r w:rsidRPr="00F93836">
              <w:t>0003.0000.0000.0000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pPr>
              <w:jc w:val="center"/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0003.0008.0000.0000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0003.0008.0077.0000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0003.0008.0077.0457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Стратегия и перспективы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0003.0008.0079.0000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0003.0008.0079.0503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Игорный бизнес. Лотереи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0003.0008.0086.0000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0003.0008.0086.0537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Государственная политика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0003.0008.0086.0538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Налоговые преференции и льготы физическим лицам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370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0003.0008.0086.0539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Водный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4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53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 на добавленную стоимость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137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 на добычу полезных ископаемых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Транспортный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126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271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2946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 на прибыль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Госпошлины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893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0003.0008.0086.0548.0093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Налогообложение малого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136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0003.0008.0086.0548.0094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Налог на профессиональный доход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0003.0008.0086.0548.0095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Иные специальные налоговые режимы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86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lastRenderedPageBreak/>
              <w:t>0003.0008.0086.0549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Юридические вопросы по налогам и сборам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5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Налогообложение алкогольной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Учет налогоплательщиков. Получение и отказ от ИНН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1618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Организация работы с налогоплательщиками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95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Актуализация сведений об объектах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450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Получение налоговых уведомлений об уплате налога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Налоговая отчетность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91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Контроль и надзор в налоговой сфере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858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205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68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0003.0008.0086.0558.0096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0003.0008.0086.0558.0097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0003.0008.0086.0558.0098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0003.0008.0086.0558.0099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0003.0008.0086.0558.0100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4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0003.0008.0086.0558.0101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0003.0008.0086.0558.0107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710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14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Уклонение от налогообложения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109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Оказание услуг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16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Электронный документооборот между хозяйствующими субъектами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Предоставление сведений из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Предоставление услуг органов ЗАГС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0003.0008.0086.0562.0089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Электронные сервисы на портале ЕГР ЗАГС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0003.0008.0086.0562.0090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Предоставление сведений из ЕРН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Маркировка товаров контрольными (идентификационными)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109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354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lastRenderedPageBreak/>
              <w:t>0003.0008.0086.0566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Регистрация физических лиц в качестве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113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Надзор в области организации и проведения азартных игр и лотерей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0003.0008.0086.0568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9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0003.0008.0086.0568.0091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Регистрация контрольно-кассовой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0003.0008.0086.0568.0092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i/>
                <w:color w:val="0000FF"/>
              </w:rPr>
            </w:pPr>
            <w:r w:rsidRPr="00F93836">
              <w:rPr>
                <w:i/>
                <w:color w:val="0000FF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112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0003.0008.0086.1198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0003.0008.0087.0000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0003.0008.0087.0580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Банковское регулирование и надзор за деятельностью кредитных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0003.0008.0088.0000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0003.0008.0088.0603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0003.0008.0089.0000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0003.0008.0089.0621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Валютный рынок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0003.0008.0089.0622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Валютное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3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0003.0008.0089.0623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2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0003.0008.0089.0624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Валютный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70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0003.0008.0092.0000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0003.0008.0092.0628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Проверка деятельности хозяйствующих субъектов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0003.0009.0000.0000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0003.0009.0094.0000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0003.0009.0094.0668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 xml:space="preserve">Работа </w:t>
            </w:r>
            <w:proofErr w:type="spellStart"/>
            <w:r w:rsidRPr="00F93836">
              <w:t>Росреестра</w:t>
            </w:r>
            <w:proofErr w:type="spellEnd"/>
            <w:r w:rsidRPr="00F93836">
              <w:t xml:space="preserve"> в федеральных округах и в субъектах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0003.0009.0096.0000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0003.0009.0096.0674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Нормативное правовое регулирование строительной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0003.0009.0098.0000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0003.0009.0098.0723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0003.0009.0098.0728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0003.0009.0099.0000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0003.0009.0099.0742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0003.0009.0099.0749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Программа по утилизации старых автомобилей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0003.0009.0100.0000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0003.0009.0100.0750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Государственное регулирование деятельности в области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0003.0009.0100.0754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Оказание услуг почтовой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0003.0009.0100.0760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0003.0009.0100.0765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0003.0009.0102.0000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0003.0009.0102.0771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lastRenderedPageBreak/>
              <w:t>0003.0009.0102.0772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0003.0010.0000.0000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0003.0010.0112.0000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0003.0010.0112.0787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Зоны свободной торговли и таможенные союзы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0003.0010.0116.0000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0003.0010.0116.0791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Утилизационный сбор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0003.0010.0120.0000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0003.0010.0120.0801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Применение косвенных (внутренних) налогов при экспорте и импорте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0003.0010.0121.0000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0003.0010.0121.0802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Таможенное регулирование и таможенное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0003.0011.0000.0000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0003.0011.0122.0000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0003.0011.0122.0828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Законодательство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0003.0011.0123.0000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0003.0011.0123.0848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0003.0012.0000.0000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0003.0012.0132.0000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0003.0012.0132.0877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Оказание услуг в электронном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8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0003.0012.0133.0000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0003.0012.0133.0879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Электронное правительство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0003.0012.0134.0000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0003.0012.0134.0880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Архивный фон. Архивы. Структура архивов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0003.0012.0134.0881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r w:rsidRPr="00F93836">
              <w:t>0004.0000.0000.0000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pPr>
              <w:jc w:val="center"/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0004.0016.0000.0000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0004.0016.0162.0000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0004.0016.0162.0995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Недружественное поглощение и захват предприятий (</w:t>
            </w:r>
            <w:proofErr w:type="spellStart"/>
            <w:r w:rsidRPr="00F93836">
              <w:t>рейдерство</w:t>
            </w:r>
            <w:proofErr w:type="spellEnd"/>
            <w:r w:rsidRPr="00F93836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0004.0016.0162.0996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Преступления против собственности (государственной, частной, личной)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0004.0016.0162.1003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Борьба с коррупцией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0004.0016.0162.1005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0004.0016.0162.1006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0004.0016.0162.1010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0004.0016.0162.1015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Ответственность за нарушение в сфере ЖКХ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0004.0016.0162.1020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Паспортная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  <w:r w:rsidRPr="00F93836">
              <w:t>1</w:t>
            </w: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0004.0016.0162.1021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Регистрация по месту жительства и пребывания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0004.0016.0162.1022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0004.0018.0000.0000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632423"/>
              </w:rPr>
            </w:pPr>
            <w:r w:rsidRPr="00F93836">
              <w:rPr>
                <w:b/>
                <w:color w:val="632423"/>
              </w:rPr>
              <w:t>Правосудие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lastRenderedPageBreak/>
              <w:t>0004.0018.0171.0000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0004.0018.0171.1059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Обжалование судебных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0004.0018.0171.1070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836" w:rsidRPr="00F93836" w:rsidRDefault="00F93836" w:rsidP="00F93836">
            <w:r w:rsidRPr="00F93836">
              <w:t>0004.0018.0171.1075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0004.0018.0171.1081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r w:rsidRPr="00F93836">
              <w:t>0005.0000.0000.0000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93836" w:rsidRPr="00F93836" w:rsidRDefault="00F93836" w:rsidP="00F93836">
            <w:pPr>
              <w:jc w:val="center"/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r w:rsidRPr="00F93836">
              <w:t>0005.0005.0000.0000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0005.0005.0055.0000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0005.0005.0055.1131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Выделение жилья молодым семьям, специалистам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0005.0005.0055.1142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Служебные жилые помещения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0005.0005.0056.0000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0005.0005.0056.1149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1035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93836" w:rsidRPr="00F93836" w:rsidRDefault="00F93836" w:rsidP="00F93836">
            <w:r w:rsidRPr="00F93836">
              <w:t>0005.0005.0057.0000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  <w:color w:val="800000"/>
              </w:rPr>
            </w:pPr>
            <w:r w:rsidRPr="00F93836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0005.0005.0057.1177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Участие в долевом строительстве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0005.0005.0057.1179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r w:rsidRPr="00F93836">
              <w:t>Предоставление субсидий на жилье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jc w:val="right"/>
            </w:pPr>
          </w:p>
        </w:tc>
      </w:tr>
      <w:tr w:rsidR="00F93836" w:rsidRPr="00F93836" w:rsidTr="00695291">
        <w:trPr>
          <w:trHeight w:val="4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836" w:rsidRPr="00F93836" w:rsidRDefault="00F93836" w:rsidP="00F93836">
            <w:pPr>
              <w:rPr>
                <w:b/>
              </w:rPr>
            </w:pPr>
            <w:r w:rsidRPr="00F93836">
              <w:rPr>
                <w:b/>
              </w:rPr>
              <w:t>ИТОГО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836" w:rsidRPr="00F93836" w:rsidRDefault="00F93836" w:rsidP="00F93836">
            <w:r w:rsidRPr="00F93836"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836" w:rsidRPr="00F93836" w:rsidRDefault="00F93836" w:rsidP="00F93836">
            <w:pPr>
              <w:jc w:val="right"/>
              <w:rPr>
                <w:b/>
              </w:rPr>
            </w:pPr>
            <w:r w:rsidRPr="00F93836">
              <w:rPr>
                <w:b/>
              </w:rPr>
              <w:t>12094</w:t>
            </w:r>
          </w:p>
        </w:tc>
      </w:tr>
    </w:tbl>
    <w:p w:rsidR="00F93836" w:rsidRPr="00F93836" w:rsidRDefault="00F93836" w:rsidP="00F93836">
      <w:pPr>
        <w:jc w:val="center"/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rPr>
          <w:sz w:val="26"/>
        </w:rPr>
      </w:pPr>
    </w:p>
    <w:p w:rsidR="00E56519" w:rsidRDefault="00E56519">
      <w:pPr>
        <w:ind w:left="1416" w:hanging="1416"/>
        <w:rPr>
          <w:sz w:val="26"/>
        </w:rPr>
      </w:pPr>
    </w:p>
    <w:sectPr w:rsidR="00E56519">
      <w:headerReference w:type="default" r:id="rId7"/>
      <w:pgSz w:w="11906" w:h="16838"/>
      <w:pgMar w:top="624" w:right="624" w:bottom="709" w:left="107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1C" w:rsidRDefault="00990139">
      <w:r>
        <w:separator/>
      </w:r>
    </w:p>
  </w:endnote>
  <w:endnote w:type="continuationSeparator" w:id="0">
    <w:p w:rsidR="00F13B1C" w:rsidRDefault="0099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1C" w:rsidRDefault="00990139">
      <w:r>
        <w:separator/>
      </w:r>
    </w:p>
  </w:footnote>
  <w:footnote w:type="continuationSeparator" w:id="0">
    <w:p w:rsidR="00F13B1C" w:rsidRDefault="0099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9" w:rsidRDefault="00990139">
    <w:pPr>
      <w:framePr w:wrap="around" w:vAnchor="text" w:hAnchor="margin" w:xAlign="center" w:y="1"/>
    </w:pPr>
    <w:r>
      <w:rPr>
        <w:rStyle w:val="a3"/>
        <w:sz w:val="22"/>
      </w:rPr>
      <w:fldChar w:fldCharType="begin"/>
    </w:r>
    <w:r>
      <w:rPr>
        <w:rStyle w:val="a3"/>
        <w:sz w:val="22"/>
      </w:rPr>
      <w:instrText xml:space="preserve">PAGE </w:instrText>
    </w:r>
    <w:r>
      <w:rPr>
        <w:rStyle w:val="a3"/>
        <w:sz w:val="22"/>
      </w:rPr>
      <w:fldChar w:fldCharType="separate"/>
    </w:r>
    <w:r w:rsidR="008F647F">
      <w:rPr>
        <w:rStyle w:val="a3"/>
        <w:noProof/>
        <w:sz w:val="22"/>
      </w:rPr>
      <w:t>2</w:t>
    </w:r>
    <w:r>
      <w:rPr>
        <w:rStyle w:val="a3"/>
        <w:sz w:val="22"/>
      </w:rPr>
      <w:fldChar w:fldCharType="end"/>
    </w:r>
  </w:p>
  <w:p w:rsidR="00E56519" w:rsidRDefault="00E56519">
    <w:pPr>
      <w:pStyle w:val="af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519"/>
    <w:rsid w:val="00052CE3"/>
    <w:rsid w:val="008F647F"/>
    <w:rsid w:val="00990139"/>
    <w:rsid w:val="00E56519"/>
    <w:rsid w:val="00F13B1C"/>
    <w:rsid w:val="00F93836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111">
    <w:name w:val="1 Знак Знак Знак Знак Знак Знак Знак Знак Знак1 Знак1"/>
    <w:basedOn w:val="a"/>
    <w:link w:val="111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0">
    <w:name w:val="1 Знак Знак Знак Знак Знак Знак Знак Знак Знак1 Знак1"/>
    <w:basedOn w:val="1"/>
    <w:link w:val="111"/>
    <w:rPr>
      <w:rFonts w:ascii="Verdana" w:hAnsi="Verdana"/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Body Text"/>
    <w:basedOn w:val="a"/>
    <w:link w:val="a5"/>
    <w:pPr>
      <w:spacing w:before="30" w:after="30"/>
      <w:ind w:right="21" w:firstLine="708"/>
      <w:jc w:val="both"/>
    </w:pPr>
    <w:rPr>
      <w:sz w:val="27"/>
    </w:rPr>
  </w:style>
  <w:style w:type="character" w:customStyle="1" w:styleId="a5">
    <w:name w:val="Основной текст Знак"/>
    <w:basedOn w:val="1"/>
    <w:link w:val="a4"/>
    <w:rPr>
      <w:sz w:val="27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4">
    <w:name w:val="1 Знак Знак Знак Знак Знак Знак"/>
    <w:basedOn w:val="a"/>
    <w:link w:val="15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1 Знак Знак Знак Знак Знак Знак"/>
    <w:basedOn w:val="1"/>
    <w:link w:val="14"/>
    <w:rPr>
      <w:rFonts w:ascii="Verdana" w:hAnsi="Verdana"/>
      <w:sz w:val="2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a8">
    <w:name w:val="caption"/>
    <w:basedOn w:val="a"/>
    <w:next w:val="a"/>
    <w:link w:val="a9"/>
    <w:pPr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customStyle="1" w:styleId="16">
    <w:name w:val="1 Знак"/>
    <w:basedOn w:val="a"/>
    <w:link w:val="17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Pr>
      <w:rFonts w:ascii="Verdana" w:hAnsi="Verdana"/>
      <w:sz w:val="20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b">
    <w:name w:val="Знак Знак Знак Знак Знак Знак Знак Знак Знак"/>
    <w:basedOn w:val="1"/>
    <w:link w:val="aa"/>
    <w:rPr>
      <w:rFonts w:ascii="Verdana" w:hAnsi="Verdana"/>
      <w:sz w:val="20"/>
    </w:rPr>
  </w:style>
  <w:style w:type="paragraph" w:customStyle="1" w:styleId="ac">
    <w:name w:val="Знак"/>
    <w:basedOn w:val="a"/>
    <w:link w:val="ad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110">
    <w:name w:val="1 Знак Знак Знак Знак Знак Знак Знак Знак Знак1 Знак"/>
    <w:basedOn w:val="a"/>
    <w:link w:val="112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">
    <w:name w:val="1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13">
    <w:name w:val="Знак1 Знак Знак Знак Знак Знак Знак Знак Знак Знак Знак Знак Знак Знак Знак Знак Знак Знак Знак Знак Знак1 Знак"/>
    <w:basedOn w:val="a"/>
    <w:link w:val="11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Знак1 Знак Знак Знак Знак Знак Знак Знак Знак Знак Знак Знак Знак Знак Знак Знак Знак Знак Знак Знак Знак1 Знак"/>
    <w:basedOn w:val="1"/>
    <w:link w:val="113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18">
    <w:name w:val="Знак1"/>
    <w:basedOn w:val="a"/>
    <w:link w:val="19"/>
    <w:pPr>
      <w:spacing w:after="160" w:line="240" w:lineRule="exact"/>
    </w:pPr>
    <w:rPr>
      <w:sz w:val="28"/>
    </w:rPr>
  </w:style>
  <w:style w:type="character" w:customStyle="1" w:styleId="19">
    <w:name w:val="Знак1"/>
    <w:basedOn w:val="1"/>
    <w:link w:val="18"/>
    <w:rPr>
      <w:sz w:val="28"/>
    </w:rPr>
  </w:style>
  <w:style w:type="paragraph" w:customStyle="1" w:styleId="ae">
    <w:name w:val="Знак Знак Знак"/>
    <w:basedOn w:val="a"/>
    <w:link w:val="af"/>
    <w:pPr>
      <w:spacing w:after="160" w:line="240" w:lineRule="exact"/>
    </w:pPr>
    <w:rPr>
      <w:sz w:val="28"/>
    </w:rPr>
  </w:style>
  <w:style w:type="character" w:customStyle="1" w:styleId="af">
    <w:name w:val="Знак Знак Знак"/>
    <w:basedOn w:val="1"/>
    <w:link w:val="ae"/>
    <w:rPr>
      <w:sz w:val="28"/>
    </w:rPr>
  </w:style>
  <w:style w:type="paragraph" w:customStyle="1" w:styleId="1a">
    <w:name w:val="1 Знак Знак Знак Знак Знак Знак Знак Знак Знак"/>
    <w:basedOn w:val="a"/>
    <w:link w:val="1b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b">
    <w:name w:val="1 Знак Знак Знак Знак Знак Знак Знак Знак Знак"/>
    <w:basedOn w:val="1"/>
    <w:link w:val="1a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Гиперссылка1"/>
    <w:link w:val="af2"/>
    <w:rPr>
      <w:color w:val="0000FF"/>
      <w:u w:val="single"/>
    </w:rPr>
  </w:style>
  <w:style w:type="character" w:styleId="af2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d">
    <w:name w:val="1 Знак Знак Знак"/>
    <w:basedOn w:val="a"/>
    <w:link w:val="1e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e">
    <w:name w:val="1 Знак Знак Знак"/>
    <w:basedOn w:val="1"/>
    <w:link w:val="1d"/>
    <w:rPr>
      <w:rFonts w:ascii="Verdana" w:hAnsi="Verdana"/>
      <w:sz w:val="20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3">
    <w:name w:val="Знак Знак Знак"/>
    <w:basedOn w:val="a"/>
    <w:link w:val="af4"/>
    <w:pPr>
      <w:spacing w:after="160" w:line="240" w:lineRule="exact"/>
    </w:pPr>
    <w:rPr>
      <w:sz w:val="28"/>
    </w:rPr>
  </w:style>
  <w:style w:type="character" w:customStyle="1" w:styleId="af4">
    <w:name w:val="Знак Знак Знак"/>
    <w:basedOn w:val="1"/>
    <w:link w:val="af3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1">
    <w:name w:val="Знак Знак Знак Знак Знак Знак1 Знак"/>
    <w:basedOn w:val="a"/>
    <w:link w:val="1f2"/>
    <w:pPr>
      <w:spacing w:after="160" w:line="240" w:lineRule="exact"/>
    </w:pPr>
    <w:rPr>
      <w:sz w:val="28"/>
    </w:rPr>
  </w:style>
  <w:style w:type="character" w:customStyle="1" w:styleId="1f2">
    <w:name w:val="Знак Знак Знак Знак Знак Знак1 Знак"/>
    <w:basedOn w:val="1"/>
    <w:link w:val="1f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basedOn w:val="a"/>
    <w:link w:val="af8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8">
    <w:name w:val="Название Знак"/>
    <w:basedOn w:val="1"/>
    <w:link w:val="af7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sz w:val="28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"/>
    <w:link w:val="afb"/>
    <w:rPr>
      <w:sz w:val="24"/>
    </w:rPr>
  </w:style>
  <w:style w:type="paragraph" w:customStyle="1" w:styleId="1f3">
    <w:name w:val="1 Знак Знак Знак Знак Знак Знак Знак"/>
    <w:basedOn w:val="a"/>
    <w:link w:val="1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4">
    <w:name w:val="1 Знак Знак Знак Знак Знак Знак Знак"/>
    <w:basedOn w:val="1"/>
    <w:link w:val="1f3"/>
    <w:rPr>
      <w:rFonts w:ascii="Verdana" w:hAnsi="Verdan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13">
    <w:name w:val="Основной шрифт абзаца1"/>
    <w:link w:val="afd"/>
  </w:style>
  <w:style w:type="table" w:styleId="afd">
    <w:name w:val="Table Grid"/>
    <w:basedOn w:val="a1"/>
    <w:link w:val="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F93836"/>
    <w:pPr>
      <w:spacing w:beforeAutospacing="1" w:afterAutospacing="1"/>
    </w:pPr>
    <w:rPr>
      <w:color w:val="800000"/>
    </w:rPr>
  </w:style>
  <w:style w:type="paragraph" w:customStyle="1" w:styleId="xl77">
    <w:name w:val="xl77"/>
    <w:basedOn w:val="a"/>
    <w:rsid w:val="00F93836"/>
    <w:pPr>
      <w:spacing w:beforeAutospacing="1" w:afterAutospacing="1"/>
    </w:pPr>
    <w:rPr>
      <w:b/>
      <w:color w:val="800000"/>
    </w:rPr>
  </w:style>
  <w:style w:type="paragraph" w:customStyle="1" w:styleId="xl80">
    <w:name w:val="xl80"/>
    <w:basedOn w:val="a"/>
    <w:rsid w:val="00F93836"/>
    <w:pPr>
      <w:spacing w:beforeAutospacing="1" w:afterAutospacing="1"/>
      <w:jc w:val="center"/>
    </w:pPr>
  </w:style>
  <w:style w:type="paragraph" w:customStyle="1" w:styleId="xl68">
    <w:name w:val="xl68"/>
    <w:basedOn w:val="a"/>
    <w:rsid w:val="00F93836"/>
    <w:pPr>
      <w:spacing w:beforeAutospacing="1" w:afterAutospacing="1"/>
      <w:jc w:val="center"/>
    </w:pPr>
    <w:rPr>
      <w:b/>
      <w:color w:val="800000"/>
    </w:rPr>
  </w:style>
  <w:style w:type="paragraph" w:customStyle="1" w:styleId="xl67">
    <w:name w:val="xl67"/>
    <w:basedOn w:val="a"/>
    <w:rsid w:val="00F93836"/>
    <w:pPr>
      <w:spacing w:beforeAutospacing="1" w:afterAutospacing="1"/>
    </w:pPr>
  </w:style>
  <w:style w:type="paragraph" w:customStyle="1" w:styleId="xl65">
    <w:name w:val="xl65"/>
    <w:basedOn w:val="a"/>
    <w:rsid w:val="00F93836"/>
    <w:pPr>
      <w:spacing w:beforeAutospacing="1" w:afterAutospacing="1"/>
    </w:pPr>
  </w:style>
  <w:style w:type="paragraph" w:customStyle="1" w:styleId="xl73">
    <w:name w:val="xl73"/>
    <w:basedOn w:val="a"/>
    <w:rsid w:val="00F93836"/>
    <w:pPr>
      <w:spacing w:beforeAutospacing="1" w:afterAutospacing="1"/>
    </w:pPr>
    <w:rPr>
      <w:b/>
      <w:color w:val="800000"/>
    </w:rPr>
  </w:style>
  <w:style w:type="paragraph" w:customStyle="1" w:styleId="font5">
    <w:name w:val="font5"/>
    <w:basedOn w:val="a"/>
    <w:rsid w:val="00F93836"/>
    <w:pPr>
      <w:spacing w:beforeAutospacing="1" w:afterAutospacing="1"/>
    </w:pPr>
    <w:rPr>
      <w:b/>
      <w:color w:val="800000"/>
    </w:rPr>
  </w:style>
  <w:style w:type="paragraph" w:customStyle="1" w:styleId="xl66">
    <w:name w:val="xl66"/>
    <w:basedOn w:val="a"/>
    <w:rsid w:val="00F93836"/>
    <w:pPr>
      <w:spacing w:beforeAutospacing="1" w:afterAutospacing="1"/>
      <w:jc w:val="center"/>
    </w:pPr>
  </w:style>
  <w:style w:type="paragraph" w:customStyle="1" w:styleId="xl79">
    <w:name w:val="xl79"/>
    <w:basedOn w:val="a"/>
    <w:rsid w:val="00F93836"/>
    <w:pPr>
      <w:spacing w:beforeAutospacing="1" w:afterAutospacing="1"/>
    </w:pPr>
    <w:rPr>
      <w:b/>
    </w:rPr>
  </w:style>
  <w:style w:type="paragraph" w:customStyle="1" w:styleId="xl71">
    <w:name w:val="xl71"/>
    <w:basedOn w:val="a"/>
    <w:rsid w:val="00F93836"/>
    <w:pPr>
      <w:spacing w:beforeAutospacing="1" w:afterAutospacing="1"/>
    </w:pPr>
    <w:rPr>
      <w:b/>
      <w:color w:val="800000"/>
    </w:rPr>
  </w:style>
  <w:style w:type="paragraph" w:customStyle="1" w:styleId="xl76">
    <w:name w:val="xl76"/>
    <w:basedOn w:val="a"/>
    <w:rsid w:val="00F93836"/>
    <w:pPr>
      <w:spacing w:beforeAutospacing="1" w:afterAutospacing="1"/>
    </w:pPr>
    <w:rPr>
      <w:b/>
      <w:color w:val="632423"/>
    </w:rPr>
  </w:style>
  <w:style w:type="paragraph" w:customStyle="1" w:styleId="xl70">
    <w:name w:val="xl70"/>
    <w:basedOn w:val="a"/>
    <w:rsid w:val="00F93836"/>
    <w:pPr>
      <w:spacing w:beforeAutospacing="1" w:afterAutospacing="1"/>
    </w:pPr>
  </w:style>
  <w:style w:type="paragraph" w:customStyle="1" w:styleId="xl74">
    <w:name w:val="xl74"/>
    <w:basedOn w:val="a"/>
    <w:rsid w:val="00F93836"/>
    <w:pPr>
      <w:spacing w:beforeAutospacing="1" w:afterAutospacing="1"/>
    </w:pPr>
  </w:style>
  <w:style w:type="paragraph" w:customStyle="1" w:styleId="xl78">
    <w:name w:val="xl78"/>
    <w:basedOn w:val="a"/>
    <w:rsid w:val="00F93836"/>
    <w:pPr>
      <w:spacing w:beforeAutospacing="1" w:afterAutospacing="1"/>
    </w:pPr>
    <w:rPr>
      <w:b/>
      <w:color w:val="632423"/>
    </w:rPr>
  </w:style>
  <w:style w:type="paragraph" w:customStyle="1" w:styleId="xl75">
    <w:name w:val="xl75"/>
    <w:basedOn w:val="a"/>
    <w:rsid w:val="00F93836"/>
    <w:pPr>
      <w:spacing w:beforeAutospacing="1" w:afterAutospacing="1"/>
    </w:pPr>
  </w:style>
  <w:style w:type="paragraph" w:customStyle="1" w:styleId="1f5">
    <w:name w:val="Просмотренная гиперссылка1"/>
    <w:link w:val="afe"/>
    <w:rsid w:val="00F93836"/>
    <w:rPr>
      <w:color w:val="954F72"/>
      <w:u w:val="single"/>
    </w:rPr>
  </w:style>
  <w:style w:type="character" w:styleId="afe">
    <w:name w:val="FollowedHyperlink"/>
    <w:link w:val="1f5"/>
    <w:rsid w:val="00F93836"/>
    <w:rPr>
      <w:color w:val="954F72"/>
      <w:u w:val="single"/>
    </w:rPr>
  </w:style>
  <w:style w:type="paragraph" w:customStyle="1" w:styleId="xl72">
    <w:name w:val="xl72"/>
    <w:basedOn w:val="a"/>
    <w:rsid w:val="00F93836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3982</Words>
  <Characters>22701</Characters>
  <Application>Microsoft Office Word</Application>
  <DocSecurity>0</DocSecurity>
  <Lines>189</Lines>
  <Paragraphs>53</Paragraphs>
  <ScaleCrop>false</ScaleCrop>
  <Company/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Доронина Мария Владимировна</cp:lastModifiedBy>
  <cp:revision>6</cp:revision>
  <dcterms:created xsi:type="dcterms:W3CDTF">2026-07-07T05:15:00Z</dcterms:created>
  <dcterms:modified xsi:type="dcterms:W3CDTF">2026-07-07T05:20:00Z</dcterms:modified>
</cp:coreProperties>
</file>